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7A15" w14:textId="4D4C9287" w:rsidR="0057024C" w:rsidRDefault="0057024C" w:rsidP="00960798">
      <w:pPr>
        <w:jc w:val="both"/>
      </w:pPr>
      <w:r>
        <w:t>July 202</w:t>
      </w:r>
      <w:r w:rsidR="007C5442">
        <w:t>3</w:t>
      </w:r>
    </w:p>
    <w:p w14:paraId="3624F97D" w14:textId="0D9E21F5" w:rsidR="00BF1C77" w:rsidRDefault="009B396F" w:rsidP="00960798">
      <w:pPr>
        <w:jc w:val="both"/>
      </w:pPr>
      <w:r>
        <w:t>Law &amp; Property Lawyers Limited participates in the Solicitors Regulation Authority (SRA) “Diversity in the legal profession” data collection exercise.</w:t>
      </w:r>
    </w:p>
    <w:p w14:paraId="369B83C3" w14:textId="6DE69B64" w:rsidR="009B396F" w:rsidRDefault="009B396F" w:rsidP="00960798">
      <w:pPr>
        <w:jc w:val="both"/>
      </w:pPr>
      <w:r>
        <w:t>As part of this we are required to report data about the diversity make-up of our workforce every two years. We are also required to publish this data (in so far as Data Protection guidelines allow us to).</w:t>
      </w:r>
    </w:p>
    <w:p w14:paraId="42E42C6F" w14:textId="61AC9BD6" w:rsidR="009B396F" w:rsidRDefault="009B396F" w:rsidP="00960798">
      <w:pPr>
        <w:jc w:val="both"/>
      </w:pPr>
      <w:r>
        <w:t>Everyone at the firm was invited to complete the data collection exercise, most recently in July 202</w:t>
      </w:r>
      <w:r w:rsidR="007C5442">
        <w:t>3</w:t>
      </w:r>
      <w:r>
        <w:t xml:space="preserve">. </w:t>
      </w:r>
    </w:p>
    <w:p w14:paraId="0848DAA4" w14:textId="3C878534" w:rsidR="009B396F" w:rsidRDefault="007C5442" w:rsidP="00960798">
      <w:pPr>
        <w:jc w:val="both"/>
      </w:pPr>
      <w:r>
        <w:t>23</w:t>
      </w:r>
      <w:r w:rsidR="005D0116">
        <w:t>% (</w:t>
      </w:r>
      <w:r w:rsidR="009B396F">
        <w:t>1</w:t>
      </w:r>
      <w:r>
        <w:t>7</w:t>
      </w:r>
      <w:r w:rsidR="009B396F">
        <w:t xml:space="preserve"> out of </w:t>
      </w:r>
      <w:r>
        <w:t>71</w:t>
      </w:r>
      <w:r w:rsidR="005D0116">
        <w:t>)</w:t>
      </w:r>
      <w:r w:rsidR="009B396F">
        <w:t xml:space="preserve"> staff chose to complete the </w:t>
      </w:r>
      <w:r w:rsidR="005D0116">
        <w:t>exercise.</w:t>
      </w:r>
    </w:p>
    <w:p w14:paraId="57CEC689" w14:textId="7B1FBA0D" w:rsidR="005D0116" w:rsidRDefault="005D0116" w:rsidP="00960798">
      <w:pPr>
        <w:jc w:val="both"/>
      </w:pPr>
      <w:r>
        <w:t>Of those who completed:</w:t>
      </w:r>
    </w:p>
    <w:p w14:paraId="4DCFF8AD" w14:textId="08FBC5DB" w:rsidR="007C5442" w:rsidRDefault="007C5442" w:rsidP="00960798">
      <w:pPr>
        <w:jc w:val="both"/>
      </w:pPr>
      <w:r>
        <w:t>1 was a full equity solicitor partner</w:t>
      </w:r>
    </w:p>
    <w:p w14:paraId="0B3190EB" w14:textId="3355F436" w:rsidR="005D0116" w:rsidRDefault="007C5442" w:rsidP="00960798">
      <w:pPr>
        <w:jc w:val="both"/>
      </w:pPr>
      <w:r>
        <w:t xml:space="preserve">3 </w:t>
      </w:r>
      <w:r w:rsidR="005D0116">
        <w:t>were solicitors (</w:t>
      </w:r>
      <w:r>
        <w:t>non-partner</w:t>
      </w:r>
      <w:r w:rsidR="005D0116">
        <w:t>)</w:t>
      </w:r>
    </w:p>
    <w:p w14:paraId="41A93D04" w14:textId="325039B0" w:rsidR="007C5442" w:rsidRDefault="007C5442" w:rsidP="00960798">
      <w:pPr>
        <w:jc w:val="both"/>
      </w:pPr>
      <w:r>
        <w:t>3 were other fee earning roles</w:t>
      </w:r>
    </w:p>
    <w:p w14:paraId="232E8CBB" w14:textId="09B35F58" w:rsidR="005D0116" w:rsidRDefault="007C5442" w:rsidP="00960798">
      <w:pPr>
        <w:jc w:val="both"/>
      </w:pPr>
      <w:r>
        <w:t>8</w:t>
      </w:r>
      <w:r w:rsidR="005D0116">
        <w:t xml:space="preserve"> were in roles directly supporting a fee earner</w:t>
      </w:r>
    </w:p>
    <w:p w14:paraId="0FF542D6" w14:textId="40497D16" w:rsidR="005D0116" w:rsidRDefault="007C5442" w:rsidP="00960798">
      <w:pPr>
        <w:jc w:val="both"/>
      </w:pPr>
      <w:r>
        <w:t>1</w:t>
      </w:r>
      <w:r w:rsidR="005D0116">
        <w:t xml:space="preserve"> w</w:t>
      </w:r>
      <w:r>
        <w:t>as</w:t>
      </w:r>
      <w:r w:rsidR="005D0116">
        <w:t xml:space="preserve"> in IT / HR / other corporate roles</w:t>
      </w:r>
    </w:p>
    <w:p w14:paraId="5FB6046D" w14:textId="7A5FE305" w:rsidR="005D0116" w:rsidRDefault="005D0116" w:rsidP="00960798">
      <w:pPr>
        <w:jc w:val="both"/>
      </w:pPr>
      <w:r>
        <w:t>1 was in a managerial role</w:t>
      </w:r>
    </w:p>
    <w:p w14:paraId="4B9532E6" w14:textId="10D6D9B6" w:rsidR="005D0116" w:rsidRDefault="005D0116" w:rsidP="00960798">
      <w:pPr>
        <w:jc w:val="both"/>
      </w:pPr>
      <w:r>
        <w:t xml:space="preserve">This summary covers </w:t>
      </w:r>
      <w:r w:rsidR="00960798">
        <w:t>8</w:t>
      </w:r>
      <w:r>
        <w:t xml:space="preserve"> </w:t>
      </w:r>
      <w:r w:rsidR="0063705E">
        <w:t>areas</w:t>
      </w:r>
      <w:r>
        <w:t xml:space="preserve"> of diversity </w:t>
      </w:r>
      <w:r w:rsidR="0063705E">
        <w:t>data</w:t>
      </w:r>
      <w:r>
        <w:t xml:space="preserve"> listed below:</w:t>
      </w:r>
    </w:p>
    <w:p w14:paraId="72A2E6EF" w14:textId="7E1138F6" w:rsidR="005D0116" w:rsidRDefault="005D0116" w:rsidP="00960798">
      <w:pPr>
        <w:pStyle w:val="ListParagraph"/>
        <w:numPr>
          <w:ilvl w:val="0"/>
          <w:numId w:val="1"/>
        </w:numPr>
        <w:jc w:val="both"/>
      </w:pPr>
      <w:r>
        <w:t>Age</w:t>
      </w:r>
    </w:p>
    <w:p w14:paraId="0DA21D74" w14:textId="7F86A98D" w:rsidR="007C5442" w:rsidRDefault="007C5442" w:rsidP="00960798">
      <w:pPr>
        <w:pStyle w:val="ListParagraph"/>
        <w:jc w:val="both"/>
      </w:pPr>
      <w:r>
        <w:t>16 – 24</w:t>
      </w:r>
      <w:r>
        <w:tab/>
      </w:r>
      <w:r>
        <w:tab/>
        <w:t>0%</w:t>
      </w:r>
    </w:p>
    <w:p w14:paraId="75C338F0" w14:textId="32307796" w:rsidR="0063705E" w:rsidRDefault="0063705E" w:rsidP="00960798">
      <w:pPr>
        <w:pStyle w:val="ListParagraph"/>
        <w:jc w:val="both"/>
      </w:pPr>
      <w:r>
        <w:t>25 – 34</w:t>
      </w:r>
      <w:r>
        <w:tab/>
      </w:r>
      <w:r>
        <w:tab/>
      </w:r>
      <w:r w:rsidR="007C5442">
        <w:t>18</w:t>
      </w:r>
      <w:r>
        <w:t>%</w:t>
      </w:r>
    </w:p>
    <w:p w14:paraId="1F17353A" w14:textId="7C033C25" w:rsidR="0063705E" w:rsidRDefault="0063705E" w:rsidP="00960798">
      <w:pPr>
        <w:pStyle w:val="ListParagraph"/>
        <w:jc w:val="both"/>
      </w:pPr>
      <w:r>
        <w:t xml:space="preserve">35 – 44 </w:t>
      </w:r>
      <w:r>
        <w:tab/>
      </w:r>
      <w:r>
        <w:tab/>
      </w:r>
      <w:r w:rsidR="007C5442">
        <w:t>18</w:t>
      </w:r>
      <w:r>
        <w:t>%</w:t>
      </w:r>
    </w:p>
    <w:p w14:paraId="4B1983D5" w14:textId="5977F26A" w:rsidR="0063705E" w:rsidRDefault="0063705E" w:rsidP="00960798">
      <w:pPr>
        <w:pStyle w:val="ListParagraph"/>
        <w:jc w:val="both"/>
      </w:pPr>
      <w:r>
        <w:t>45 – 54</w:t>
      </w:r>
      <w:r>
        <w:tab/>
      </w:r>
      <w:r>
        <w:tab/>
      </w:r>
      <w:r w:rsidR="007C5442">
        <w:t>24</w:t>
      </w:r>
      <w:r>
        <w:t>%</w:t>
      </w:r>
    </w:p>
    <w:p w14:paraId="65A348E7" w14:textId="7FED4219" w:rsidR="0063705E" w:rsidRDefault="0063705E" w:rsidP="00960798">
      <w:pPr>
        <w:pStyle w:val="ListParagraph"/>
        <w:jc w:val="both"/>
      </w:pPr>
      <w:r>
        <w:t>55 – 64</w:t>
      </w:r>
      <w:r>
        <w:tab/>
      </w:r>
      <w:r>
        <w:tab/>
      </w:r>
      <w:r w:rsidR="007C5442">
        <w:t>40</w:t>
      </w:r>
      <w:r>
        <w:t>%</w:t>
      </w:r>
    </w:p>
    <w:p w14:paraId="08941D3A" w14:textId="77777777" w:rsidR="0063705E" w:rsidRDefault="0063705E" w:rsidP="00960798">
      <w:pPr>
        <w:pStyle w:val="ListParagraph"/>
        <w:jc w:val="both"/>
      </w:pPr>
    </w:p>
    <w:p w14:paraId="23998AA7" w14:textId="1C934B19" w:rsidR="005D0116" w:rsidRDefault="005D0116" w:rsidP="00960798">
      <w:pPr>
        <w:pStyle w:val="ListParagraph"/>
        <w:numPr>
          <w:ilvl w:val="0"/>
          <w:numId w:val="1"/>
        </w:numPr>
        <w:jc w:val="both"/>
      </w:pPr>
      <w:r>
        <w:t>Gender</w:t>
      </w:r>
    </w:p>
    <w:p w14:paraId="59B4B467" w14:textId="42FB1681" w:rsidR="0063705E" w:rsidRDefault="0068371B" w:rsidP="00960798">
      <w:pPr>
        <w:pStyle w:val="ListParagraph"/>
        <w:jc w:val="both"/>
      </w:pPr>
      <w:r>
        <w:t>Male</w:t>
      </w:r>
      <w:r>
        <w:tab/>
      </w:r>
      <w:r>
        <w:tab/>
      </w:r>
      <w:r w:rsidR="007C5442">
        <w:t>12</w:t>
      </w:r>
      <w:r>
        <w:t>%</w:t>
      </w:r>
    </w:p>
    <w:p w14:paraId="2FDAD578" w14:textId="5A2154D0" w:rsidR="0068371B" w:rsidRDefault="0068371B" w:rsidP="00960798">
      <w:pPr>
        <w:pStyle w:val="ListParagraph"/>
        <w:jc w:val="both"/>
      </w:pPr>
      <w:r>
        <w:t>Female</w:t>
      </w:r>
      <w:r>
        <w:tab/>
      </w:r>
      <w:r>
        <w:tab/>
      </w:r>
      <w:r w:rsidR="007C5442">
        <w:t>88</w:t>
      </w:r>
      <w:r>
        <w:t>%</w:t>
      </w:r>
    </w:p>
    <w:p w14:paraId="026F3875" w14:textId="77777777" w:rsidR="0068371B" w:rsidRDefault="0068371B" w:rsidP="00960798">
      <w:pPr>
        <w:pStyle w:val="ListParagraph"/>
        <w:jc w:val="both"/>
      </w:pPr>
    </w:p>
    <w:p w14:paraId="0AE5BE05" w14:textId="77777777" w:rsidR="00926B69" w:rsidRDefault="005D0116" w:rsidP="00960798">
      <w:pPr>
        <w:pStyle w:val="ListParagraph"/>
        <w:numPr>
          <w:ilvl w:val="0"/>
          <w:numId w:val="1"/>
        </w:numPr>
        <w:jc w:val="both"/>
      </w:pPr>
      <w:r>
        <w:t>Disability</w:t>
      </w:r>
      <w:r w:rsidR="0068371B">
        <w:tab/>
      </w:r>
    </w:p>
    <w:p w14:paraId="6AEFD8ED" w14:textId="3D53EBDC" w:rsidR="00926B69" w:rsidRDefault="0068371B" w:rsidP="00960798">
      <w:pPr>
        <w:pStyle w:val="ListParagraph"/>
        <w:numPr>
          <w:ilvl w:val="1"/>
          <w:numId w:val="1"/>
        </w:numPr>
        <w:jc w:val="both"/>
      </w:pPr>
      <w:r>
        <w:t>9</w:t>
      </w:r>
      <w:r w:rsidR="005D40BF">
        <w:t>4</w:t>
      </w:r>
      <w:r>
        <w:t>% of those who responded did not consider themselves to have a</w:t>
      </w:r>
      <w:r w:rsidR="00926B69">
        <w:t xml:space="preserve"> </w:t>
      </w:r>
      <w:r>
        <w:t>disability according to the definition in the Equality Act 2010 (EA 2010).</w:t>
      </w:r>
    </w:p>
    <w:p w14:paraId="091EBC68" w14:textId="77777777" w:rsidR="005D40BF" w:rsidRDefault="005D40BF" w:rsidP="00960798">
      <w:pPr>
        <w:pStyle w:val="ListParagraph"/>
        <w:numPr>
          <w:ilvl w:val="1"/>
          <w:numId w:val="1"/>
        </w:numPr>
        <w:jc w:val="both"/>
      </w:pPr>
      <w:r>
        <w:t>6</w:t>
      </w:r>
      <w:r w:rsidR="00926B69">
        <w:t xml:space="preserve">% </w:t>
      </w:r>
      <w:r>
        <w:t>of those who responded did consider themselves to have a disability according to the definition in the Equality Act 2010 (EA 2010).</w:t>
      </w:r>
    </w:p>
    <w:p w14:paraId="10E6774B" w14:textId="64AF1087" w:rsidR="0068371B" w:rsidRDefault="005D40BF" w:rsidP="00960798">
      <w:pPr>
        <w:pStyle w:val="ListParagraph"/>
        <w:numPr>
          <w:ilvl w:val="1"/>
          <w:numId w:val="1"/>
        </w:numPr>
        <w:jc w:val="both"/>
      </w:pPr>
      <w:r>
        <w:t xml:space="preserve">100% of those responded, did not consider their </w:t>
      </w:r>
      <w:r w:rsidRPr="005D40BF">
        <w:rPr>
          <w:rFonts w:ascii="Calibri" w:eastAsia="Times New Roman" w:hAnsi="Calibri" w:cs="Calibri"/>
          <w:color w:val="000000"/>
          <w:lang w:eastAsia="en-GB"/>
        </w:rPr>
        <w:t>day-to-day activities limited because of a health problem or disability which ha</w:t>
      </w:r>
      <w:r>
        <w:rPr>
          <w:rFonts w:ascii="Calibri" w:eastAsia="Times New Roman" w:hAnsi="Calibri" w:cs="Calibri"/>
          <w:color w:val="000000"/>
          <w:lang w:eastAsia="en-GB"/>
        </w:rPr>
        <w:t>d</w:t>
      </w:r>
      <w:r w:rsidRPr="005D40BF">
        <w:rPr>
          <w:rFonts w:ascii="Calibri" w:eastAsia="Times New Roman" w:hAnsi="Calibri" w:cs="Calibri"/>
          <w:color w:val="000000"/>
          <w:lang w:eastAsia="en-GB"/>
        </w:rPr>
        <w:t xml:space="preserve"> lasted, or </w:t>
      </w:r>
      <w:r>
        <w:rPr>
          <w:rFonts w:ascii="Calibri" w:eastAsia="Times New Roman" w:hAnsi="Calibri" w:cs="Calibri"/>
          <w:color w:val="000000"/>
          <w:lang w:eastAsia="en-GB"/>
        </w:rPr>
        <w:t>was</w:t>
      </w:r>
      <w:r w:rsidRPr="005D40BF">
        <w:rPr>
          <w:rFonts w:ascii="Calibri" w:eastAsia="Times New Roman" w:hAnsi="Calibri" w:cs="Calibri"/>
          <w:color w:val="000000"/>
          <w:lang w:eastAsia="en-GB"/>
        </w:rPr>
        <w:t xml:space="preserve"> expected to last, at least 12 months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10873F49" w14:textId="4C6BC732" w:rsidR="005D0116" w:rsidRDefault="005D0116" w:rsidP="00960798">
      <w:pPr>
        <w:pStyle w:val="ListParagraph"/>
        <w:numPr>
          <w:ilvl w:val="0"/>
          <w:numId w:val="1"/>
        </w:numPr>
        <w:jc w:val="both"/>
      </w:pPr>
      <w:r>
        <w:t>Ethnicity</w:t>
      </w:r>
    </w:p>
    <w:p w14:paraId="472D5D6B" w14:textId="278E57AA" w:rsidR="005D40BF" w:rsidRDefault="005D40BF" w:rsidP="00960798">
      <w:pPr>
        <w:pStyle w:val="ListParagraph"/>
        <w:numPr>
          <w:ilvl w:val="1"/>
          <w:numId w:val="1"/>
        </w:numPr>
        <w:jc w:val="both"/>
      </w:pPr>
      <w:r>
        <w:t>6%</w:t>
      </w:r>
      <w:r w:rsidR="004D15C8">
        <w:t xml:space="preserve"> of</w:t>
      </w:r>
      <w:r>
        <w:t xml:space="preserve"> respondents </w:t>
      </w:r>
      <w:r w:rsidR="004D15C8">
        <w:t>are Indian</w:t>
      </w:r>
    </w:p>
    <w:p w14:paraId="7C3F8578" w14:textId="49AD4CF9" w:rsidR="004D15C8" w:rsidRDefault="004D15C8" w:rsidP="00960798">
      <w:pPr>
        <w:pStyle w:val="ListParagraph"/>
        <w:numPr>
          <w:ilvl w:val="1"/>
          <w:numId w:val="1"/>
        </w:numPr>
        <w:jc w:val="both"/>
      </w:pPr>
      <w:r>
        <w:t>94% of respondents are British / English / Welsh / Northern Irish / Scottish</w:t>
      </w:r>
    </w:p>
    <w:p w14:paraId="0CC283FB" w14:textId="77777777" w:rsidR="00926B69" w:rsidRDefault="00926B69" w:rsidP="00960798">
      <w:pPr>
        <w:pStyle w:val="ListParagraph"/>
        <w:ind w:left="1440"/>
        <w:jc w:val="both"/>
      </w:pPr>
    </w:p>
    <w:p w14:paraId="43A9F420" w14:textId="39FDDCF9" w:rsidR="005D0116" w:rsidRDefault="005D0116" w:rsidP="00960798">
      <w:pPr>
        <w:pStyle w:val="ListParagraph"/>
        <w:numPr>
          <w:ilvl w:val="0"/>
          <w:numId w:val="1"/>
        </w:numPr>
        <w:jc w:val="both"/>
      </w:pPr>
      <w:r>
        <w:t>Religion or belief</w:t>
      </w:r>
    </w:p>
    <w:p w14:paraId="5B131FBC" w14:textId="12D65864" w:rsidR="002D3ABE" w:rsidRDefault="004D15C8" w:rsidP="00960798">
      <w:pPr>
        <w:pStyle w:val="ListParagraph"/>
        <w:numPr>
          <w:ilvl w:val="1"/>
          <w:numId w:val="1"/>
        </w:numPr>
        <w:jc w:val="both"/>
      </w:pPr>
      <w:r>
        <w:t>70</w:t>
      </w:r>
      <w:r w:rsidR="002D3ABE">
        <w:t>%</w:t>
      </w:r>
      <w:r w:rsidR="002D3ABE">
        <w:tab/>
        <w:t>No religion or belief</w:t>
      </w:r>
    </w:p>
    <w:p w14:paraId="34ACE9C6" w14:textId="6C65859E" w:rsidR="002D3ABE" w:rsidRDefault="004D15C8" w:rsidP="00960798">
      <w:pPr>
        <w:pStyle w:val="ListParagraph"/>
        <w:numPr>
          <w:ilvl w:val="1"/>
          <w:numId w:val="1"/>
        </w:numPr>
        <w:jc w:val="both"/>
      </w:pPr>
      <w:r>
        <w:t>24</w:t>
      </w:r>
      <w:r w:rsidR="002D3ABE">
        <w:t>%</w:t>
      </w:r>
      <w:r w:rsidR="002D3ABE">
        <w:tab/>
        <w:t>Christian</w:t>
      </w:r>
    </w:p>
    <w:p w14:paraId="53F038A3" w14:textId="5C1833F5" w:rsidR="002D3ABE" w:rsidRDefault="004D15C8" w:rsidP="00960798">
      <w:pPr>
        <w:pStyle w:val="ListParagraph"/>
        <w:numPr>
          <w:ilvl w:val="1"/>
          <w:numId w:val="1"/>
        </w:numPr>
        <w:jc w:val="both"/>
      </w:pPr>
      <w:r>
        <w:lastRenderedPageBreak/>
        <w:t>6</w:t>
      </w:r>
      <w:r w:rsidR="002D3ABE">
        <w:t>%</w:t>
      </w:r>
      <w:r w:rsidR="002D3ABE">
        <w:tab/>
      </w:r>
      <w:r>
        <w:t xml:space="preserve">Hindu </w:t>
      </w:r>
    </w:p>
    <w:p w14:paraId="31A8003C" w14:textId="77777777" w:rsidR="00DE64E8" w:rsidRDefault="00DE64E8" w:rsidP="00960798">
      <w:pPr>
        <w:pStyle w:val="ListParagraph"/>
        <w:ind w:left="1440"/>
        <w:jc w:val="both"/>
      </w:pPr>
    </w:p>
    <w:p w14:paraId="5A981971" w14:textId="35B986D2" w:rsidR="00DE64E8" w:rsidRDefault="0063705E" w:rsidP="00960798">
      <w:pPr>
        <w:pStyle w:val="ListParagraph"/>
        <w:numPr>
          <w:ilvl w:val="0"/>
          <w:numId w:val="1"/>
        </w:numPr>
        <w:jc w:val="both"/>
      </w:pPr>
      <w:r>
        <w:t>School &amp; University</w:t>
      </w:r>
      <w:r w:rsidR="00DE64E8">
        <w:t xml:space="preserve"> – attended:</w:t>
      </w:r>
    </w:p>
    <w:p w14:paraId="31C45DF8" w14:textId="5F8295D8" w:rsidR="00DE64E8" w:rsidRDefault="004D15C8" w:rsidP="00960798">
      <w:pPr>
        <w:pStyle w:val="ListParagraph"/>
        <w:numPr>
          <w:ilvl w:val="1"/>
          <w:numId w:val="1"/>
        </w:numPr>
        <w:jc w:val="both"/>
      </w:pPr>
      <w:r>
        <w:t>88</w:t>
      </w:r>
      <w:r w:rsidR="00DE64E8">
        <w:t>% State-run or state-funded school – nonselective</w:t>
      </w:r>
    </w:p>
    <w:p w14:paraId="712A0F5C" w14:textId="20E514FC" w:rsidR="00DE64E8" w:rsidRDefault="004D15C8" w:rsidP="00960798">
      <w:pPr>
        <w:pStyle w:val="ListParagraph"/>
        <w:numPr>
          <w:ilvl w:val="1"/>
          <w:numId w:val="1"/>
        </w:numPr>
        <w:jc w:val="both"/>
      </w:pPr>
      <w:r>
        <w:t>12</w:t>
      </w:r>
      <w:r w:rsidR="00DE64E8">
        <w:t>%</w:t>
      </w:r>
      <w:r w:rsidR="00DE64E8">
        <w:tab/>
        <w:t>Independent fee -paying school</w:t>
      </w:r>
    </w:p>
    <w:p w14:paraId="5784E7DE" w14:textId="39A2CAAC" w:rsidR="003F0DD7" w:rsidRDefault="004D15C8" w:rsidP="00960798">
      <w:pPr>
        <w:ind w:left="360" w:firstLine="720"/>
        <w:jc w:val="both"/>
      </w:pPr>
      <w:r>
        <w:t>82</w:t>
      </w:r>
      <w:r w:rsidR="003F0DD7">
        <w:t>% of respondent’s parents</w:t>
      </w:r>
      <w:r>
        <w:t xml:space="preserve"> x 1+</w:t>
      </w:r>
      <w:r w:rsidR="003F0DD7">
        <w:t xml:space="preserve"> did not attend university </w:t>
      </w:r>
    </w:p>
    <w:p w14:paraId="4EEA4D04" w14:textId="0D996627" w:rsidR="004D15C8" w:rsidRDefault="004D15C8" w:rsidP="00960798">
      <w:pPr>
        <w:ind w:left="1080"/>
        <w:jc w:val="both"/>
      </w:pPr>
      <w:r>
        <w:t>12</w:t>
      </w:r>
      <w:r w:rsidR="003F0DD7">
        <w:t xml:space="preserve">% of respondent’s parents did attend university </w:t>
      </w:r>
    </w:p>
    <w:p w14:paraId="0C82E8AD" w14:textId="6A6A4253" w:rsidR="004D15C8" w:rsidRDefault="004D15C8" w:rsidP="00960798">
      <w:pPr>
        <w:pStyle w:val="ListParagraph"/>
        <w:numPr>
          <w:ilvl w:val="0"/>
          <w:numId w:val="1"/>
        </w:numPr>
        <w:jc w:val="both"/>
      </w:pPr>
      <w:r>
        <w:t>Occupation of main household earner:</w:t>
      </w:r>
    </w:p>
    <w:p w14:paraId="44F05262" w14:textId="77777777" w:rsidR="004D15C8" w:rsidRDefault="004D15C8" w:rsidP="009607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4D15C8">
        <w:rPr>
          <w:rFonts w:ascii="Calibri" w:eastAsia="Times New Roman" w:hAnsi="Calibri" w:cs="Calibri"/>
          <w:color w:val="000000"/>
          <w:lang w:eastAsia="en-GB"/>
        </w:rPr>
        <w:t>Modern professional and traditional professional occupations such as: teacher, nurse, physiotherapist, social worker, musician, police officer (sergeant or above), software designer, accountant, solicitor, medical practitioner, scientist, civil / mechanic engineer</w:t>
      </w:r>
      <w:r>
        <w:rPr>
          <w:rFonts w:ascii="Calibri" w:eastAsia="Times New Roman" w:hAnsi="Calibri" w:cs="Calibri"/>
          <w:color w:val="000000"/>
          <w:lang w:eastAsia="en-GB"/>
        </w:rPr>
        <w:t>: 59%</w:t>
      </w:r>
    </w:p>
    <w:p w14:paraId="3C4C2ABF" w14:textId="39F8B7AB" w:rsidR="004D15C8" w:rsidRDefault="004D15C8" w:rsidP="009607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4D15C8">
        <w:rPr>
          <w:rFonts w:ascii="Calibri" w:eastAsia="Times New Roman" w:hAnsi="Calibri" w:cs="Calibri"/>
          <w:color w:val="000000"/>
          <w:lang w:eastAsia="en-GB"/>
        </w:rPr>
        <w:t xml:space="preserve">Senior, </w:t>
      </w:r>
      <w:r w:rsidR="00A335A2" w:rsidRPr="004D15C8">
        <w:rPr>
          <w:rFonts w:ascii="Calibri" w:eastAsia="Times New Roman" w:hAnsi="Calibri" w:cs="Calibri"/>
          <w:color w:val="000000"/>
          <w:lang w:eastAsia="en-GB"/>
        </w:rPr>
        <w:t>middle,</w:t>
      </w:r>
      <w:r w:rsidRPr="004D15C8">
        <w:rPr>
          <w:rFonts w:ascii="Calibri" w:eastAsia="Times New Roman" w:hAnsi="Calibri" w:cs="Calibri"/>
          <w:color w:val="000000"/>
          <w:lang w:eastAsia="en-GB"/>
        </w:rPr>
        <w:t xml:space="preserve"> or junior managers or administrators such as: finance manager, chief executive, large business owner, office manager, retail manager, bank manager, restaurant manager, warehouse manager</w:t>
      </w:r>
      <w:r>
        <w:rPr>
          <w:rFonts w:ascii="Calibri" w:eastAsia="Times New Roman" w:hAnsi="Calibri" w:cs="Calibri"/>
          <w:color w:val="000000"/>
          <w:lang w:eastAsia="en-GB"/>
        </w:rPr>
        <w:t>. 6%</w:t>
      </w:r>
    </w:p>
    <w:p w14:paraId="10DC7B37" w14:textId="77777777" w:rsidR="004D15C8" w:rsidRDefault="004D15C8" w:rsidP="009607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4D15C8">
        <w:rPr>
          <w:rFonts w:ascii="Calibri" w:eastAsia="Times New Roman" w:hAnsi="Calibri" w:cs="Calibri"/>
          <w:color w:val="000000"/>
          <w:lang w:eastAsia="en-GB"/>
        </w:rPr>
        <w:t>Technical and craft occupations such as: motor mechanic, plumber, printer, electrician, gardener, train driver</w:t>
      </w:r>
      <w:r>
        <w:rPr>
          <w:rFonts w:ascii="Calibri" w:eastAsia="Times New Roman" w:hAnsi="Calibri" w:cs="Calibri"/>
          <w:color w:val="000000"/>
          <w:lang w:eastAsia="en-GB"/>
        </w:rPr>
        <w:t>: 12%</w:t>
      </w:r>
    </w:p>
    <w:p w14:paraId="217A4308" w14:textId="23333425" w:rsidR="004D15C8" w:rsidRDefault="004D15C8" w:rsidP="009607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4D15C8">
        <w:rPr>
          <w:rFonts w:ascii="Calibri" w:eastAsia="Times New Roman" w:hAnsi="Calibri" w:cs="Calibri"/>
          <w:color w:val="000000"/>
          <w:lang w:eastAsia="en-GB"/>
        </w:rPr>
        <w:t xml:space="preserve">Routine, semi-routine </w:t>
      </w:r>
      <w:r w:rsidR="00A335A2" w:rsidRPr="004D15C8">
        <w:rPr>
          <w:rFonts w:ascii="Calibri" w:eastAsia="Times New Roman" w:hAnsi="Calibri" w:cs="Calibri"/>
          <w:color w:val="000000"/>
          <w:lang w:eastAsia="en-GB"/>
        </w:rPr>
        <w:t>manual,</w:t>
      </w:r>
      <w:r w:rsidRPr="004D15C8">
        <w:rPr>
          <w:rFonts w:ascii="Calibri" w:eastAsia="Times New Roman" w:hAnsi="Calibri" w:cs="Calibri"/>
          <w:color w:val="000000"/>
          <w:lang w:eastAsia="en-GB"/>
        </w:rPr>
        <w:t xml:space="preserve"> and service occupations such as: postal worker, machine operative, security guard, caretaker, farm worker, catering assistant, sales assistant, HGV driver, cleaner, porter, packer, labourer, waiter/waitress, bar staff</w:t>
      </w:r>
      <w:r>
        <w:rPr>
          <w:rFonts w:ascii="Calibri" w:eastAsia="Times New Roman" w:hAnsi="Calibri" w:cs="Calibri"/>
          <w:color w:val="000000"/>
          <w:lang w:eastAsia="en-GB"/>
        </w:rPr>
        <w:t>: 24%</w:t>
      </w:r>
    </w:p>
    <w:p w14:paraId="08C41763" w14:textId="77777777" w:rsidR="00960798" w:rsidRPr="00960798" w:rsidRDefault="00960798" w:rsidP="00960798">
      <w:pPr>
        <w:pStyle w:val="ListParagraph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3CB5120" w14:textId="56D1008A" w:rsidR="005D0116" w:rsidRDefault="005D0116" w:rsidP="00960798">
      <w:pPr>
        <w:pStyle w:val="ListParagraph"/>
        <w:numPr>
          <w:ilvl w:val="0"/>
          <w:numId w:val="1"/>
        </w:numPr>
        <w:jc w:val="both"/>
      </w:pPr>
      <w:r>
        <w:t>Caring responsibilities</w:t>
      </w:r>
    </w:p>
    <w:p w14:paraId="1E1A15D5" w14:textId="77777777" w:rsidR="00960798" w:rsidRDefault="004D15C8" w:rsidP="00960798">
      <w:pPr>
        <w:pStyle w:val="ListParagraph"/>
        <w:numPr>
          <w:ilvl w:val="1"/>
          <w:numId w:val="5"/>
        </w:numPr>
        <w:jc w:val="both"/>
      </w:pPr>
      <w:r>
        <w:t>41</w:t>
      </w:r>
      <w:r w:rsidR="0057024C">
        <w:t>% of respondents have primary carer responsibilities for a child under 18</w:t>
      </w:r>
    </w:p>
    <w:p w14:paraId="4805EA5E" w14:textId="6FAE909D" w:rsidR="00960798" w:rsidRPr="00960798" w:rsidRDefault="00960798" w:rsidP="00960798">
      <w:pPr>
        <w:pStyle w:val="ListParagraph"/>
        <w:numPr>
          <w:ilvl w:val="1"/>
          <w:numId w:val="5"/>
        </w:numPr>
        <w:jc w:val="both"/>
      </w:pPr>
      <w:r>
        <w:t xml:space="preserve">6% of respondents look </w:t>
      </w:r>
      <w:r w:rsidRPr="00960798">
        <w:rPr>
          <w:rFonts w:ascii="Calibri" w:eastAsia="Times New Roman" w:hAnsi="Calibri" w:cs="Calibri"/>
          <w:color w:val="000000"/>
          <w:lang w:eastAsia="en-GB"/>
        </w:rPr>
        <w:t>after or care for someone with long term physical or mental ill health caused by disability or age (not in a paid capacity).</w:t>
      </w:r>
    </w:p>
    <w:p w14:paraId="3CB035D5" w14:textId="77777777" w:rsidR="004D15C8" w:rsidRDefault="004D15C8" w:rsidP="00960798">
      <w:pPr>
        <w:ind w:left="1440"/>
        <w:jc w:val="both"/>
      </w:pPr>
    </w:p>
    <w:p w14:paraId="6F251533" w14:textId="79AB0D23" w:rsidR="0057024C" w:rsidRDefault="0057024C" w:rsidP="00960798">
      <w:pPr>
        <w:jc w:val="both"/>
      </w:pPr>
      <w:r>
        <w:t>Other categories of diversity data has been collected but not published, as part of this exercise, so that individuals may not be identified.</w:t>
      </w:r>
    </w:p>
    <w:p w14:paraId="3224027C" w14:textId="2A8011CF" w:rsidR="0057024C" w:rsidRDefault="0057024C" w:rsidP="00960798">
      <w:pPr>
        <w:jc w:val="both"/>
      </w:pPr>
    </w:p>
    <w:p w14:paraId="0E3805F9" w14:textId="3FC5E75F" w:rsidR="0057024C" w:rsidRDefault="0057024C" w:rsidP="00960798">
      <w:pPr>
        <w:jc w:val="both"/>
      </w:pPr>
      <w:r>
        <w:t>END</w:t>
      </w:r>
    </w:p>
    <w:p w14:paraId="27F4B89D" w14:textId="1E2A957C" w:rsidR="00960798" w:rsidRDefault="00960798" w:rsidP="00960798">
      <w:pPr>
        <w:jc w:val="both"/>
      </w:pPr>
      <w:r>
        <w:t>17/07/2023</w:t>
      </w:r>
    </w:p>
    <w:sectPr w:rsidR="0096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60"/>
    <w:multiLevelType w:val="hybridMultilevel"/>
    <w:tmpl w:val="66509ED4"/>
    <w:lvl w:ilvl="0" w:tplc="BA3E6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76E"/>
    <w:multiLevelType w:val="hybridMultilevel"/>
    <w:tmpl w:val="572E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7CCC"/>
    <w:multiLevelType w:val="hybridMultilevel"/>
    <w:tmpl w:val="13E82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D91"/>
    <w:multiLevelType w:val="hybridMultilevel"/>
    <w:tmpl w:val="415CCD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1393"/>
    <w:multiLevelType w:val="hybridMultilevel"/>
    <w:tmpl w:val="EC808C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953812">
    <w:abstractNumId w:val="2"/>
  </w:num>
  <w:num w:numId="2" w16cid:durableId="787045794">
    <w:abstractNumId w:val="0"/>
  </w:num>
  <w:num w:numId="3" w16cid:durableId="1007171183">
    <w:abstractNumId w:val="1"/>
  </w:num>
  <w:num w:numId="4" w16cid:durableId="1466120649">
    <w:abstractNumId w:val="3"/>
  </w:num>
  <w:num w:numId="5" w16cid:durableId="67804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F"/>
    <w:rsid w:val="002C4CCF"/>
    <w:rsid w:val="002D3ABE"/>
    <w:rsid w:val="003F0DD7"/>
    <w:rsid w:val="004D15C8"/>
    <w:rsid w:val="0057024C"/>
    <w:rsid w:val="005D0116"/>
    <w:rsid w:val="005D40BF"/>
    <w:rsid w:val="0063705E"/>
    <w:rsid w:val="0068371B"/>
    <w:rsid w:val="007C5442"/>
    <w:rsid w:val="00926B69"/>
    <w:rsid w:val="00960798"/>
    <w:rsid w:val="009B396F"/>
    <w:rsid w:val="00A335A2"/>
    <w:rsid w:val="00BF1C77"/>
    <w:rsid w:val="00D3272D"/>
    <w:rsid w:val="00D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96D2"/>
  <w15:chartTrackingRefBased/>
  <w15:docId w15:val="{96A6ABEF-E6D3-48B9-8FBE-FE79746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Waite</dc:creator>
  <cp:keywords/>
  <dc:description/>
  <cp:lastModifiedBy>Emma Warwick</cp:lastModifiedBy>
  <cp:revision>2</cp:revision>
  <cp:lastPrinted>2022-06-15T09:08:00Z</cp:lastPrinted>
  <dcterms:created xsi:type="dcterms:W3CDTF">2023-07-18T08:30:00Z</dcterms:created>
  <dcterms:modified xsi:type="dcterms:W3CDTF">2023-07-18T08:30:00Z</dcterms:modified>
</cp:coreProperties>
</file>